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5CC" w:rsidRDefault="0028799C" w:rsidP="005B55CC">
      <w:pPr>
        <w:ind w:firstLine="567"/>
        <w:jc w:val="both"/>
        <w:rPr>
          <w:rFonts w:ascii="Times New Roman" w:hAnsi="Times New Roman" w:cs="Times New Roman"/>
          <w:b/>
          <w:sz w:val="28"/>
          <w:szCs w:val="28"/>
        </w:rPr>
      </w:pPr>
      <w:r>
        <w:rPr>
          <w:rFonts w:ascii="Times New Roman" w:hAnsi="Times New Roman" w:cs="Times New Roman"/>
          <w:b/>
          <w:sz w:val="28"/>
          <w:szCs w:val="28"/>
        </w:rPr>
        <w:t xml:space="preserve">Практическая </w:t>
      </w:r>
      <w:r w:rsidR="005B55CC" w:rsidRPr="00004E2A">
        <w:rPr>
          <w:rFonts w:ascii="Times New Roman" w:hAnsi="Times New Roman" w:cs="Times New Roman"/>
          <w:b/>
          <w:sz w:val="28"/>
          <w:szCs w:val="28"/>
        </w:rPr>
        <w:t xml:space="preserve">работа № </w:t>
      </w:r>
      <w:r>
        <w:rPr>
          <w:rFonts w:ascii="Times New Roman" w:hAnsi="Times New Roman" w:cs="Times New Roman"/>
          <w:b/>
          <w:sz w:val="28"/>
          <w:szCs w:val="28"/>
        </w:rPr>
        <w:t>7</w:t>
      </w:r>
      <w:bookmarkStart w:id="0" w:name="_GoBack"/>
      <w:bookmarkEnd w:id="0"/>
      <w:r w:rsidR="005B55CC" w:rsidRPr="00004E2A">
        <w:rPr>
          <w:rFonts w:ascii="Times New Roman" w:hAnsi="Times New Roman" w:cs="Times New Roman"/>
          <w:b/>
          <w:sz w:val="28"/>
          <w:szCs w:val="28"/>
        </w:rPr>
        <w:t xml:space="preserve"> </w:t>
      </w:r>
    </w:p>
    <w:p w:rsidR="005B55CC" w:rsidRDefault="005B55CC" w:rsidP="005B55CC">
      <w:pPr>
        <w:ind w:firstLine="567"/>
        <w:jc w:val="both"/>
        <w:rPr>
          <w:rFonts w:ascii="Times New Roman" w:hAnsi="Times New Roman" w:cs="Times New Roman"/>
          <w:b/>
          <w:sz w:val="28"/>
          <w:szCs w:val="28"/>
        </w:rPr>
      </w:pPr>
      <w:r w:rsidRPr="00004E2A">
        <w:rPr>
          <w:rFonts w:ascii="Times New Roman" w:hAnsi="Times New Roman" w:cs="Times New Roman"/>
          <w:b/>
          <w:sz w:val="28"/>
          <w:szCs w:val="28"/>
        </w:rPr>
        <w:t xml:space="preserve">Определение щелочности </w:t>
      </w:r>
    </w:p>
    <w:p w:rsidR="005B55CC" w:rsidRDefault="005B55CC" w:rsidP="005B55CC">
      <w:pPr>
        <w:ind w:firstLine="567"/>
        <w:jc w:val="both"/>
        <w:rPr>
          <w:rFonts w:ascii="Times New Roman" w:hAnsi="Times New Roman" w:cs="Times New Roman"/>
          <w:b/>
          <w:sz w:val="28"/>
          <w:szCs w:val="28"/>
        </w:rPr>
      </w:pPr>
      <w:r w:rsidRPr="00004E2A">
        <w:rPr>
          <w:rFonts w:ascii="Times New Roman" w:hAnsi="Times New Roman" w:cs="Times New Roman"/>
          <w:b/>
          <w:i/>
          <w:sz w:val="28"/>
          <w:szCs w:val="28"/>
        </w:rPr>
        <w:t>Сущность метода.</w:t>
      </w:r>
      <w:r w:rsidRPr="00004E2A">
        <w:rPr>
          <w:rFonts w:ascii="Times New Roman" w:hAnsi="Times New Roman" w:cs="Times New Roman"/>
          <w:b/>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Щелочность определяют при рН воды больше 4,5. Щелочность устанавливают титрованием воды раствором сильной кислоты в присутствии подходящих индикаторов. </w:t>
      </w:r>
    </w:p>
    <w:p w:rsidR="005B55CC" w:rsidRDefault="005B55CC" w:rsidP="005B55CC">
      <w:pPr>
        <w:ind w:firstLine="567"/>
        <w:jc w:val="both"/>
        <w:rPr>
          <w:rFonts w:ascii="Times New Roman" w:hAnsi="Times New Roman" w:cs="Times New Roman"/>
          <w:sz w:val="28"/>
          <w:szCs w:val="28"/>
        </w:rPr>
      </w:pP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Реактивы и оборудование</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Индикаторы</w:t>
      </w:r>
      <w:r>
        <w:rPr>
          <w:rFonts w:ascii="Times New Roman" w:hAnsi="Times New Roman" w:cs="Times New Roman"/>
          <w:sz w:val="28"/>
          <w:szCs w:val="28"/>
        </w:rPr>
        <w:t>:</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Фенолфталеин </w:t>
      </w:r>
    </w:p>
    <w:p w:rsidR="005B55CC" w:rsidRDefault="005B55CC" w:rsidP="005B55CC">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D219D7">
        <w:rPr>
          <w:rFonts w:ascii="Times New Roman" w:hAnsi="Times New Roman" w:cs="Times New Roman"/>
          <w:sz w:val="28"/>
          <w:szCs w:val="28"/>
        </w:rPr>
        <w:t>Метилоранж</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Соляная или серная кислота, 0,1 моль-экв./дм3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Бюретки, конические колбы для титрования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Ход определения</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Предварительно ориентировочно определяют рН воды. Если рН воды меньше 4,5, щелочность равна нулю. Если вода мутная, ее фильтруют, а если окрашенная – разбавляют дистиллированной водой.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свободной щелочности.</w:t>
      </w:r>
      <w:r w:rsidRPr="00D219D7">
        <w:rPr>
          <w:rFonts w:ascii="Times New Roman" w:hAnsi="Times New Roman" w:cs="Times New Roman"/>
          <w:sz w:val="28"/>
          <w:szCs w:val="28"/>
        </w:rPr>
        <w:t xml:space="preserve">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В коническую колбу помещают 100 анализируемой воды, взятой непосредственно или предварительно разбавленной</w:t>
      </w:r>
      <w:r>
        <w:rPr>
          <w:rFonts w:ascii="Times New Roman" w:hAnsi="Times New Roman" w:cs="Times New Roman"/>
          <w:sz w:val="28"/>
          <w:szCs w:val="28"/>
        </w:rPr>
        <w:t xml:space="preserve"> </w:t>
      </w:r>
      <w:r w:rsidRPr="00D219D7">
        <w:rPr>
          <w:rFonts w:ascii="Times New Roman" w:hAnsi="Times New Roman" w:cs="Times New Roman"/>
          <w:sz w:val="28"/>
          <w:szCs w:val="28"/>
        </w:rPr>
        <w:t xml:space="preserve">приливают 5 капель фенолфталеина. Если появляется малиновая или розовая окраска, то содержимое колбы титруют на белом фоне соляной или серной кислотой до исчезновения окраски. Израсходованное на титрование количество кислоты соответствует щелочности воды по фенолфталеину, </w:t>
      </w:r>
    </w:p>
    <w:p w:rsid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b/>
          <w:i/>
          <w:sz w:val="28"/>
          <w:szCs w:val="28"/>
        </w:rPr>
        <w:t>Определение общей щелочности.</w:t>
      </w:r>
      <w:r w:rsidRPr="00D219D7">
        <w:rPr>
          <w:rFonts w:ascii="Times New Roman" w:hAnsi="Times New Roman" w:cs="Times New Roman"/>
          <w:sz w:val="28"/>
          <w:szCs w:val="28"/>
        </w:rPr>
        <w:t xml:space="preserve">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В коническую колбу помещают 100 см3 анализируемой воды, приливают 5 – 6 капель раствора метилоранжа или заменяющего его индикатора (метилового желтого, бромфенолового синего или смешанного индикатора). В другую коническую колбу наливают такой же объем анализируемой воды и столько же индикатора, сколько было введено в первый раствор. Ст</w:t>
      </w:r>
      <w:r>
        <w:rPr>
          <w:rFonts w:ascii="Times New Roman" w:hAnsi="Times New Roman" w:cs="Times New Roman"/>
          <w:sz w:val="28"/>
          <w:szCs w:val="28"/>
        </w:rPr>
        <w:t>авят обе колбы на белую бума</w:t>
      </w:r>
      <w:r w:rsidRPr="00D219D7">
        <w:rPr>
          <w:rFonts w:ascii="Times New Roman" w:hAnsi="Times New Roman" w:cs="Times New Roman"/>
          <w:sz w:val="28"/>
          <w:szCs w:val="28"/>
        </w:rPr>
        <w:t>гу и титруют жидкость в первой колбе кислотой до тех пор, пока цвет ее не станет отличаться от цвета жидкости во второй колбе.</w:t>
      </w:r>
    </w:p>
    <w:p w:rsidR="005B55CC" w:rsidRPr="00004E2A" w:rsidRDefault="005B55CC" w:rsidP="005B55CC">
      <w:pPr>
        <w:ind w:firstLine="567"/>
        <w:jc w:val="both"/>
        <w:rPr>
          <w:rFonts w:ascii="Times New Roman" w:hAnsi="Times New Roman" w:cs="Times New Roman"/>
          <w:b/>
          <w:i/>
          <w:sz w:val="28"/>
          <w:szCs w:val="28"/>
        </w:rPr>
      </w:pPr>
      <w:r w:rsidRPr="00004E2A">
        <w:rPr>
          <w:rFonts w:ascii="Times New Roman" w:hAnsi="Times New Roman" w:cs="Times New Roman"/>
          <w:b/>
          <w:i/>
          <w:sz w:val="28"/>
          <w:szCs w:val="28"/>
        </w:rPr>
        <w:t xml:space="preserve">Расчет. </w:t>
      </w:r>
    </w:p>
    <w:p w:rsidR="005B55CC" w:rsidRPr="005B55CC"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lastRenderedPageBreak/>
        <w:t>Содержание оснований (Х) в ммоль-экв./дм 3 вычисляют по формуле:</w:t>
      </w:r>
    </w:p>
    <w:p w:rsidR="005B55CC" w:rsidRPr="005B55CC" w:rsidRDefault="005B55CC" w:rsidP="005B55CC">
      <w:pPr>
        <w:ind w:firstLine="567"/>
        <w:jc w:val="both"/>
        <w:rPr>
          <w:rFonts w:ascii="Times New Roman" w:hAnsi="Times New Roman" w:cs="Times New Roman"/>
          <w:b/>
          <w:sz w:val="28"/>
          <w:szCs w:val="28"/>
          <w:u w:val="single"/>
        </w:rPr>
      </w:pPr>
      <w:r w:rsidRPr="005B55CC">
        <w:rPr>
          <w:rFonts w:ascii="Times New Roman" w:hAnsi="Times New Roman" w:cs="Times New Roman"/>
          <w:b/>
          <w:sz w:val="28"/>
          <w:szCs w:val="28"/>
        </w:rPr>
        <w:t xml:space="preserve">   </w:t>
      </w:r>
      <w:r w:rsidRPr="00C477D3">
        <w:rPr>
          <w:rFonts w:ascii="Times New Roman" w:hAnsi="Times New Roman" w:cs="Times New Roman"/>
          <w:b/>
          <w:sz w:val="28"/>
          <w:szCs w:val="28"/>
          <w:u w:val="single"/>
        </w:rPr>
        <w:t xml:space="preserve">    </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05"/>
        <w:gridCol w:w="1191"/>
        <w:gridCol w:w="1134"/>
      </w:tblGrid>
      <w:tr w:rsidR="005B55CC" w:rsidTr="00FD56FA">
        <w:tc>
          <w:tcPr>
            <w:tcW w:w="2605" w:type="dxa"/>
            <w:vMerge w:val="restart"/>
            <w:shd w:val="clear" w:color="auto" w:fill="auto"/>
            <w:vAlign w:val="center"/>
          </w:tcPr>
          <w:p w:rsidR="005B55CC" w:rsidRPr="00C477D3" w:rsidRDefault="005B55CC" w:rsidP="00FD56FA">
            <w:pPr>
              <w:jc w:val="center"/>
              <w:rPr>
                <w:rFonts w:ascii="Times New Roman" w:hAnsi="Times New Roman" w:cs="Times New Roman"/>
                <w:b/>
                <w:sz w:val="28"/>
                <w:szCs w:val="28"/>
                <w:u w:val="single"/>
                <w:lang w:val="en-US"/>
              </w:rPr>
            </w:pPr>
            <w:r w:rsidRPr="005B55CC">
              <w:rPr>
                <w:rFonts w:ascii="Times New Roman" w:hAnsi="Times New Roman" w:cs="Times New Roman"/>
                <w:b/>
                <w:sz w:val="28"/>
                <w:szCs w:val="28"/>
              </w:rPr>
              <w:t xml:space="preserve">                           </w:t>
            </w:r>
            <w:r w:rsidRPr="00D219D7">
              <w:rPr>
                <w:rFonts w:ascii="Times New Roman" w:hAnsi="Times New Roman" w:cs="Times New Roman"/>
                <w:b/>
                <w:sz w:val="32"/>
                <w:szCs w:val="32"/>
              </w:rPr>
              <w:t>Х</w:t>
            </w:r>
            <w:r>
              <w:rPr>
                <w:rFonts w:ascii="Times New Roman" w:hAnsi="Times New Roman" w:cs="Times New Roman"/>
                <w:b/>
                <w:sz w:val="28"/>
                <w:szCs w:val="28"/>
                <w:lang w:val="en-US"/>
              </w:rPr>
              <w:t xml:space="preserve"> =</w:t>
            </w:r>
          </w:p>
        </w:tc>
        <w:tc>
          <w:tcPr>
            <w:tcW w:w="905" w:type="dxa"/>
            <w:vMerge w:val="restart"/>
            <w:shd w:val="clear" w:color="auto" w:fill="auto"/>
            <w:vAlign w:val="center"/>
          </w:tcPr>
          <w:p w:rsidR="005B55CC" w:rsidRPr="00422564" w:rsidRDefault="005B55CC" w:rsidP="00FD56FA">
            <w:pPr>
              <w:rPr>
                <w:rFonts w:ascii="Times New Roman" w:hAnsi="Times New Roman" w:cs="Times New Roman"/>
                <w:b/>
                <w:sz w:val="28"/>
                <w:szCs w:val="28"/>
                <w:u w:val="single"/>
              </w:rPr>
            </w:pPr>
            <w:r w:rsidRPr="00C477D3">
              <w:rPr>
                <w:rFonts w:ascii="Times New Roman" w:hAnsi="Times New Roman" w:cs="Times New Roman"/>
                <w:b/>
                <w:sz w:val="28"/>
                <w:szCs w:val="28"/>
                <w:u w:val="single"/>
                <w:lang w:val="en-US"/>
              </w:rPr>
              <w:t>V</w:t>
            </w:r>
            <w:r>
              <w:rPr>
                <w:rFonts w:ascii="Times New Roman" w:hAnsi="Times New Roman" w:cs="Times New Roman"/>
                <w:b/>
                <w:sz w:val="28"/>
                <w:szCs w:val="28"/>
                <w:u w:val="single"/>
                <w:vertAlign w:val="subscript"/>
              </w:rPr>
              <w:t>т</w:t>
            </w:r>
            <w:r>
              <w:rPr>
                <w:rFonts w:ascii="Times New Roman" w:hAnsi="Times New Roman" w:cs="Times New Roman"/>
                <w:b/>
                <w:sz w:val="28"/>
                <w:szCs w:val="28"/>
                <w:u w:val="single"/>
              </w:rPr>
              <w:t>_•_</w:t>
            </w:r>
            <w:r>
              <w:rPr>
                <w:rFonts w:ascii="Times New Roman" w:hAnsi="Times New Roman" w:cs="Times New Roman"/>
                <w:b/>
                <w:sz w:val="28"/>
                <w:szCs w:val="28"/>
                <w:u w:val="single"/>
                <w:lang w:val="en-US"/>
              </w:rPr>
              <w:t>H</w:t>
            </w:r>
            <w:r w:rsidRPr="00422564">
              <w:rPr>
                <w:rFonts w:ascii="Times New Roman" w:hAnsi="Times New Roman" w:cs="Times New Roman"/>
                <w:b/>
                <w:sz w:val="28"/>
                <w:szCs w:val="28"/>
                <w:u w:val="single"/>
                <w:vertAlign w:val="subscript"/>
              </w:rPr>
              <w:t>т</w:t>
            </w:r>
          </w:p>
          <w:p w:rsidR="005B55CC" w:rsidRPr="00422564" w:rsidRDefault="005B55CC" w:rsidP="00FD56FA">
            <w:pPr>
              <w:rPr>
                <w:rFonts w:ascii="Times New Roman" w:hAnsi="Times New Roman" w:cs="Times New Roman"/>
                <w:b/>
                <w:sz w:val="28"/>
                <w:szCs w:val="28"/>
                <w:u w:val="single"/>
                <w:vertAlign w:val="subscript"/>
              </w:rPr>
            </w:pPr>
            <w:r w:rsidRPr="00C477D3">
              <w:rPr>
                <w:rFonts w:ascii="Times New Roman" w:hAnsi="Times New Roman" w:cs="Times New Roman"/>
                <w:b/>
                <w:sz w:val="28"/>
                <w:szCs w:val="28"/>
                <w:lang w:val="en-US"/>
              </w:rPr>
              <w:t>V</w:t>
            </w:r>
            <w:r>
              <w:rPr>
                <w:rFonts w:ascii="Times New Roman" w:hAnsi="Times New Roman" w:cs="Times New Roman"/>
                <w:b/>
                <w:sz w:val="28"/>
                <w:szCs w:val="28"/>
                <w:vertAlign w:val="subscript"/>
              </w:rPr>
              <w:t>пробы</w:t>
            </w:r>
          </w:p>
        </w:tc>
        <w:tc>
          <w:tcPr>
            <w:tcW w:w="1134" w:type="dxa"/>
            <w:shd w:val="clear" w:color="auto" w:fill="auto"/>
          </w:tcPr>
          <w:p w:rsidR="005B55CC" w:rsidRPr="00D219D7" w:rsidRDefault="005B55CC" w:rsidP="00FD56FA">
            <w:pPr>
              <w:jc w:val="both"/>
              <w:rPr>
                <w:rFonts w:ascii="Times New Roman" w:hAnsi="Times New Roman" w:cs="Times New Roman"/>
                <w:b/>
                <w:sz w:val="28"/>
                <w:szCs w:val="28"/>
                <w:u w:val="single"/>
              </w:rPr>
            </w:pPr>
            <w:r w:rsidRPr="00D219D7">
              <w:rPr>
                <w:rFonts w:ascii="Times New Roman" w:hAnsi="Times New Roman" w:cs="Times New Roman"/>
                <w:b/>
                <w:sz w:val="28"/>
                <w:szCs w:val="28"/>
                <w:lang w:val="en-US"/>
              </w:rPr>
              <w:t xml:space="preserve">      </w:t>
            </w:r>
            <w:r>
              <w:rPr>
                <w:rFonts w:ascii="Times New Roman" w:hAnsi="Times New Roman" w:cs="Times New Roman"/>
                <w:b/>
                <w:sz w:val="28"/>
                <w:szCs w:val="28"/>
                <w:lang w:val="en-US"/>
              </w:rPr>
              <w:t>•</w:t>
            </w:r>
            <w:r w:rsidRPr="00C477D3">
              <w:rPr>
                <w:rFonts w:ascii="Times New Roman" w:hAnsi="Times New Roman" w:cs="Times New Roman"/>
                <w:b/>
                <w:sz w:val="28"/>
                <w:szCs w:val="28"/>
                <w:lang w:val="en-US"/>
              </w:rPr>
              <w:t>1000</w:t>
            </w:r>
            <w:r>
              <w:rPr>
                <w:rFonts w:ascii="Times New Roman" w:hAnsi="Times New Roman" w:cs="Times New Roman"/>
                <w:b/>
                <w:sz w:val="28"/>
                <w:szCs w:val="28"/>
              </w:rPr>
              <w:t>,</w:t>
            </w:r>
          </w:p>
        </w:tc>
      </w:tr>
      <w:tr w:rsidR="005B55CC" w:rsidTr="00FD56FA">
        <w:tc>
          <w:tcPr>
            <w:tcW w:w="2605" w:type="dxa"/>
            <w:vMerge/>
            <w:shd w:val="clear" w:color="auto" w:fill="auto"/>
          </w:tcPr>
          <w:p w:rsidR="005B55CC" w:rsidRDefault="005B55CC" w:rsidP="00FD56FA">
            <w:pPr>
              <w:jc w:val="both"/>
              <w:rPr>
                <w:rFonts w:ascii="Times New Roman" w:hAnsi="Times New Roman" w:cs="Times New Roman"/>
                <w:b/>
                <w:sz w:val="28"/>
                <w:szCs w:val="28"/>
                <w:u w:val="single"/>
                <w:lang w:val="en-US"/>
              </w:rPr>
            </w:pPr>
          </w:p>
        </w:tc>
        <w:tc>
          <w:tcPr>
            <w:tcW w:w="905" w:type="dxa"/>
            <w:vMerge/>
            <w:shd w:val="clear" w:color="auto" w:fill="auto"/>
          </w:tcPr>
          <w:p w:rsidR="005B55CC" w:rsidRDefault="005B55CC" w:rsidP="00FD56FA">
            <w:pPr>
              <w:jc w:val="both"/>
              <w:rPr>
                <w:rFonts w:ascii="Times New Roman" w:hAnsi="Times New Roman" w:cs="Times New Roman"/>
                <w:b/>
                <w:sz w:val="28"/>
                <w:szCs w:val="28"/>
                <w:u w:val="single"/>
                <w:lang w:val="en-US"/>
              </w:rPr>
            </w:pPr>
          </w:p>
        </w:tc>
        <w:tc>
          <w:tcPr>
            <w:tcW w:w="1134" w:type="dxa"/>
            <w:shd w:val="clear" w:color="auto" w:fill="auto"/>
          </w:tcPr>
          <w:p w:rsidR="005B55CC" w:rsidRDefault="005B55CC" w:rsidP="00FD56FA">
            <w:pPr>
              <w:jc w:val="both"/>
              <w:rPr>
                <w:rFonts w:ascii="Times New Roman" w:hAnsi="Times New Roman" w:cs="Times New Roman"/>
                <w:b/>
                <w:sz w:val="28"/>
                <w:szCs w:val="28"/>
                <w:u w:val="single"/>
                <w:lang w:val="en-US"/>
              </w:rPr>
            </w:pPr>
          </w:p>
        </w:tc>
      </w:tr>
    </w:tbl>
    <w:p w:rsidR="005B55CC" w:rsidRPr="00422564"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где V</w:t>
      </w:r>
      <w:r w:rsidRPr="00D219D7">
        <w:rPr>
          <w:rFonts w:ascii="Times New Roman" w:hAnsi="Times New Roman" w:cs="Times New Roman"/>
          <w:sz w:val="28"/>
          <w:szCs w:val="28"/>
          <w:vertAlign w:val="subscript"/>
        </w:rPr>
        <w:t xml:space="preserve">Т </w:t>
      </w:r>
      <w:r w:rsidRPr="00D219D7">
        <w:rPr>
          <w:rFonts w:ascii="Times New Roman" w:hAnsi="Times New Roman" w:cs="Times New Roman"/>
          <w:sz w:val="28"/>
          <w:szCs w:val="28"/>
        </w:rPr>
        <w:t>– объем титранта, см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Н</w:t>
      </w:r>
      <w:r w:rsidRPr="00D219D7">
        <w:rPr>
          <w:rFonts w:ascii="Times New Roman" w:hAnsi="Times New Roman" w:cs="Times New Roman"/>
          <w:sz w:val="28"/>
          <w:szCs w:val="28"/>
          <w:vertAlign w:val="subscript"/>
        </w:rPr>
        <w:t>Т</w:t>
      </w:r>
      <w:r w:rsidRPr="00D219D7">
        <w:rPr>
          <w:rFonts w:ascii="Times New Roman" w:hAnsi="Times New Roman" w:cs="Times New Roman"/>
          <w:sz w:val="28"/>
          <w:szCs w:val="28"/>
        </w:rPr>
        <w:t xml:space="preserve"> – концентрация титранта, моль-экв./дм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V</w:t>
      </w:r>
      <w:r w:rsidRPr="00422564">
        <w:rPr>
          <w:rFonts w:ascii="Times New Roman" w:hAnsi="Times New Roman" w:cs="Times New Roman"/>
          <w:sz w:val="28"/>
          <w:szCs w:val="28"/>
          <w:vertAlign w:val="subscript"/>
        </w:rPr>
        <w:t>пробы</w:t>
      </w:r>
      <w:r w:rsidRPr="00D219D7">
        <w:rPr>
          <w:rFonts w:ascii="Times New Roman" w:hAnsi="Times New Roman" w:cs="Times New Roman"/>
          <w:sz w:val="28"/>
          <w:szCs w:val="28"/>
        </w:rPr>
        <w:t xml:space="preserve"> – объем пробы, см</w:t>
      </w:r>
      <w:r w:rsidRPr="00D219D7">
        <w:rPr>
          <w:rFonts w:ascii="Times New Roman" w:hAnsi="Times New Roman" w:cs="Times New Roman"/>
          <w:sz w:val="28"/>
          <w:szCs w:val="28"/>
          <w:vertAlign w:val="superscript"/>
        </w:rPr>
        <w:t>3</w:t>
      </w:r>
      <w:r w:rsidRPr="00D219D7">
        <w:rPr>
          <w:rFonts w:ascii="Times New Roman" w:hAnsi="Times New Roman" w:cs="Times New Roman"/>
          <w:sz w:val="28"/>
          <w:szCs w:val="28"/>
        </w:rPr>
        <w:t xml:space="preserve"> ; </w:t>
      </w:r>
    </w:p>
    <w:p w:rsidR="005B55CC" w:rsidRPr="00D219D7" w:rsidRDefault="005B55CC" w:rsidP="005B55CC">
      <w:pPr>
        <w:ind w:firstLine="567"/>
        <w:jc w:val="both"/>
        <w:rPr>
          <w:rFonts w:ascii="Times New Roman" w:hAnsi="Times New Roman" w:cs="Times New Roman"/>
          <w:sz w:val="28"/>
          <w:szCs w:val="28"/>
        </w:rPr>
      </w:pPr>
      <w:r w:rsidRPr="00D219D7">
        <w:rPr>
          <w:rFonts w:ascii="Times New Roman" w:hAnsi="Times New Roman" w:cs="Times New Roman"/>
          <w:sz w:val="28"/>
          <w:szCs w:val="28"/>
        </w:rPr>
        <w:t xml:space="preserve">        1000 – коэффициент для перевода от моль-экв. к ммоль-экв.</w:t>
      </w:r>
    </w:p>
    <w:p w:rsidR="000230F9" w:rsidRDefault="0028799C"/>
    <w:sectPr w:rsidR="000230F9" w:rsidSect="00DB5253">
      <w:pgSz w:w="11906" w:h="16838"/>
      <w:pgMar w:top="567" w:right="567"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5F0"/>
    <w:rsid w:val="0028010B"/>
    <w:rsid w:val="0028799C"/>
    <w:rsid w:val="005B55CC"/>
    <w:rsid w:val="00A825F0"/>
    <w:rsid w:val="00DE459A"/>
    <w:rsid w:val="00EF6B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5CC"/>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5B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5CC"/>
  </w:style>
  <w:style w:type="paragraph" w:styleId="1">
    <w:name w:val="heading 1"/>
    <w:basedOn w:val="a"/>
    <w:next w:val="a"/>
    <w:link w:val="10"/>
    <w:uiPriority w:val="9"/>
    <w:qFormat/>
    <w:rsid w:val="00DE459A"/>
    <w:pPr>
      <w:keepNext/>
      <w:keepLines/>
      <w:spacing w:before="480" w:after="0"/>
      <w:outlineLvl w:val="0"/>
    </w:pPr>
    <w:rPr>
      <w:rFonts w:asciiTheme="majorHAnsi" w:eastAsiaTheme="majorEastAsia" w:hAnsiTheme="majorHAnsi" w:cstheme="majorBidi"/>
      <w:b/>
      <w:bCs/>
      <w:color w:val="0292DF" w:themeColor="accent1" w:themeShade="BF"/>
      <w:sz w:val="28"/>
      <w:szCs w:val="28"/>
    </w:rPr>
  </w:style>
  <w:style w:type="paragraph" w:styleId="2">
    <w:name w:val="heading 2"/>
    <w:basedOn w:val="a"/>
    <w:next w:val="a"/>
    <w:link w:val="20"/>
    <w:uiPriority w:val="9"/>
    <w:unhideWhenUsed/>
    <w:qFormat/>
    <w:rsid w:val="00DE459A"/>
    <w:pPr>
      <w:keepNext/>
      <w:keepLines/>
      <w:spacing w:before="200" w:after="0"/>
      <w:outlineLvl w:val="1"/>
    </w:pPr>
    <w:rPr>
      <w:rFonts w:asciiTheme="majorHAnsi" w:eastAsiaTheme="majorEastAsia" w:hAnsiTheme="majorHAnsi" w:cstheme="majorBidi"/>
      <w:b/>
      <w:bCs/>
      <w:color w:val="31B6F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E459A"/>
    <w:rPr>
      <w:rFonts w:asciiTheme="majorHAnsi" w:eastAsiaTheme="majorEastAsia" w:hAnsiTheme="majorHAnsi" w:cstheme="majorBidi"/>
      <w:b/>
      <w:bCs/>
      <w:color w:val="0292DF" w:themeColor="accent1" w:themeShade="BF"/>
      <w:sz w:val="28"/>
      <w:szCs w:val="28"/>
    </w:rPr>
  </w:style>
  <w:style w:type="character" w:customStyle="1" w:styleId="20">
    <w:name w:val="Заголовок 2 Знак"/>
    <w:basedOn w:val="a0"/>
    <w:link w:val="2"/>
    <w:uiPriority w:val="9"/>
    <w:rsid w:val="00DE459A"/>
    <w:rPr>
      <w:rFonts w:asciiTheme="majorHAnsi" w:eastAsiaTheme="majorEastAsia" w:hAnsiTheme="majorHAnsi" w:cstheme="majorBidi"/>
      <w:b/>
      <w:bCs/>
      <w:color w:val="31B6FD" w:themeColor="accent1"/>
      <w:sz w:val="26"/>
      <w:szCs w:val="26"/>
    </w:rPr>
  </w:style>
  <w:style w:type="paragraph" w:styleId="a3">
    <w:name w:val="No Spacing"/>
    <w:uiPriority w:val="1"/>
    <w:qFormat/>
    <w:rsid w:val="00DE459A"/>
    <w:pPr>
      <w:spacing w:after="0" w:line="240" w:lineRule="auto"/>
    </w:pPr>
  </w:style>
  <w:style w:type="table" w:styleId="a4">
    <w:name w:val="Table Grid"/>
    <w:basedOn w:val="a1"/>
    <w:uiPriority w:val="59"/>
    <w:rsid w:val="005B55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Волна">
      <a:dk1>
        <a:sysClr val="windowText" lastClr="000000"/>
      </a:dk1>
      <a:lt1>
        <a:sysClr val="window" lastClr="FFFFFF"/>
      </a:lt1>
      <a:dk2>
        <a:srgbClr val="073E87"/>
      </a:dk2>
      <a:lt2>
        <a:srgbClr val="C6E7FC"/>
      </a:lt2>
      <a:accent1>
        <a:srgbClr val="31B6FD"/>
      </a:accent1>
      <a:accent2>
        <a:srgbClr val="4584D3"/>
      </a:accent2>
      <a:accent3>
        <a:srgbClr val="5BD078"/>
      </a:accent3>
      <a:accent4>
        <a:srgbClr val="A5D028"/>
      </a:accent4>
      <a:accent5>
        <a:srgbClr val="F5C040"/>
      </a:accent5>
      <a:accent6>
        <a:srgbClr val="05E0DB"/>
      </a:accent6>
      <a:hlink>
        <a:srgbClr val="0080FF"/>
      </a:hlink>
      <a:folHlink>
        <a:srgbClr val="5EAEFF"/>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tif333</dc:creator>
  <cp:keywords/>
  <dc:description/>
  <cp:lastModifiedBy>tif333</cp:lastModifiedBy>
  <cp:revision>4</cp:revision>
  <dcterms:created xsi:type="dcterms:W3CDTF">2023-10-15T10:23:00Z</dcterms:created>
  <dcterms:modified xsi:type="dcterms:W3CDTF">2023-10-15T10:58:00Z</dcterms:modified>
</cp:coreProperties>
</file>